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183</w:t>
      </w:r>
    </w:p>
    <w:p>
      <w:r>
        <w:t>Bundesgericht (BGE), 1973-12-20, DE</w:t>
      </w:r>
    </w:p>
    <w:p>
      <w:r>
        <w:rPr>
          <w:b/>
        </w:rPr>
        <w:t xml:space="preserve">Quelle: </w:t>
      </w:r>
      <w:r>
        <w:t>https://mcp.opencaselaw.ch/entscheid/bge_99 V 183</w:t>
      </w:r>
    </w:p>
    <w:p>
      <w:r>
        <w:t>FR: ATF 99 V 183</w:t>
      </w:r>
    </w:p>
    <w:p>
      <w:r>
        <w:t>IT: DTF 99 V 183</w:t>
      </w:r>
    </w:p>
    <w:p>
      <w:pPr>
        <w:pStyle w:val="Heading2"/>
      </w:pPr>
      <w:r>
        <w:t>Regeste</w:t>
      </w:r>
    </w:p>
    <w:p>
      <w:r>
        <w:t>Regeste Art. 104 lit. a OG. - Verhältnis zwischen materiellem Sozialversicherungsrecht des Bundes und kantonalem Verfahrensrecht; Umfang der Überprüfungsbefugnis des Eidg. Versicherungsgerichts (Erw. 1 und 2). - Eine kantonale Verfahrensbestimmung, wonach der Richter nicht über die Parteibegehren hinausgehen darf, ist im Anwendungsbereich des Art. 121 KUVG nicht bundesrechtswidrig (Erw. 3).</w:t>
      </w:r>
    </w:p>
    <w:p>
      <w:pPr>
        <w:pStyle w:val="Heading2"/>
      </w:pPr>
      <w:r>
        <w:t>Erwägungen</w:t>
      </w:r>
    </w:p>
    <w:p>
      <w:r>
        <w:rPr>
          <w:b/>
        </w:rPr>
        <w:t>E. 1</w:t>
      </w:r>
    </w:p>
    <w:p>
      <w:r>
        <w:t>Die Verwaltungsgerichtsbeschwerde richtet sich gegen die Weigerung des Verwaltungsgerichts des Kantons Luzern, auf die Beschwerde in einer Streitigkeit um Leistungen der SUVA einzutreten. Angefochten ist. also ein kantonaler Nichteintretensentscheid im Sinn des Art. 5 Abs. 1 lit. a VwG (Art. 128 in Verbindung mit Art. 97 Abs. 1 OG ). Nach der Rechtsprechung ist die Verwaltungsgerichtsbeschwerde gegen die Anwendung kantonalen Rechtes durch den vorinstanzlichen Richter zulässig, wenn dieser damit sozialversicherungsrechtliche Vorschriften des Bundes verletzt hat. Ein Nichteintretensentscheid, der sich auf kantonales Prozessrecht stützt, kann durch Verwaltungsgerichtsbeschwerde angefochten werden, wenn dieser Entscheid irrtümlich die Anwendung materiellen Bundesrechts verunmöglicht ( BGE 99 V 55 ). Das Eidg. Versicherungsgericht kann indessen die Anwendung des kantonalen Verfahrensrechts nicht frei überprüfen. Denn einmal ist es an die vorinstanzliche Sachverhaltsfeststellung gebunden, wenn diese nicht offensichtlich mangelhaft ist BGE 99 V 183 S. 185 ( Art. 105 Abs. 2 OG ). Sodann beschränkt Art. 104 lit. a OG die Überprüfungsbefugnis des Eidg. Versicherungsgerichts auf die Verletzung von Bundesrecht einschliesslich Überschreitung oder Missbrauch des Ermessens, das heisst also sehr oft auf die Verletzung von Art. 4 BV (vgl. BGE 99 V 55 und 98 Ib 336). Letzteres trifft vor allem auf dem Gebiete der obligatorischen Unfallversicherung zu, wo Art. 121 Abs. 1 KUVG den Kantonen nur ganz wenige Verfahrensregeln vorschreibt.</w:t>
      </w:r>
    </w:p>
    <w:p>
      <w:r>
        <w:rPr>
          <w:b/>
        </w:rPr>
        <w:t>E. 2</w:t>
      </w:r>
    </w:p>
    <w:p>
      <w:r>
        <w:t>§ 133 Abs. 1 des auch im Bereich des Sozialversicherungsrechts des Bundes anwendbaren luzernischen Gesetzes vom 3. Juli 1972 über die Verwaltungsrechtspflege schreibt vor, dass die Rechtsmittelschrift einen bestimmten Antrag und dessen Begründung enthalten muss. Enthält die Rechtsschrift, insbesondere die Beschwerde, nicht alle notwendigen Angaben, so setzt die Behörde bzw. der Richter dem Beschwerdeführer eine angemessene Frist zur Verbesserung oder Ergänzung; werden die gerügten Mängel nicht behoben, so tritt der Richter auf die Beschwerde nicht ein (§ 135 Abs. 2 und 3 des genannten Gesetzes)... Diese Regeln sind nicht bundesrechtswidrig. Sie entsprechen auf kantonaler Ebene jenen Grundsätzen, die auch im ganzen Bereich der Verwaltungsgerichtsbarkeit des Bundes gelten (vgl. Art. 52 VwG und Art. 108 OG ).</w:t>
      </w:r>
    </w:p>
    <w:p>
      <w:r>
        <w:rPr>
          <w:b/>
        </w:rPr>
        <w:t>E. 3</w:t>
      </w:r>
    </w:p>
    <w:p>
      <w:r>
        <w:t>Sind diese verfahrensrechtlichen Normen somit nicht zu beanstanden, so hat das Eidg. Versicherungsgericht - im Rahmen der ihm zustehenden, in Erwägung 1 umschriebenen Kognitionsbefugnis - zu prüfen, ob sie von der Vorinstanz richtig angewendet worden sind. In seiner Beschwerdeschrift gab Peppino Taffurelli klar zu verstehen, was er vom Versicherungsgericht des Kantons Luzern verlangte: Er wollte, dass die hälftige Rentenkürzung aufgehoben und der Invaliditätsgrad höher als auf 15% festgesetzt werde. Der vorinstanzliche Richter hielt beide Begehren für unklar, wie seinem Schreiben vom 26. Juni 1973 an den Beschwerdeführer entnommen werden muss, differenzierte er doch nicht zwischen der Leistungskürzung einerseits und der Invaliditätsschätzung anderseits. Indessen war der Vorwurf mangelhafter Rechtsbegehren bezüglich der Leistungskürzung unbegründet. Das Verwaltungsgericht hätte mindestens auf diesen Punkt eintreten müssen, zumal sich die Rechtmässigkeit der Kürzung ohne Rücksicht auf den - ebenfalls streitigen - BGE 99 V 183 S. 186 Invaliditätsgrad hätte beurteilen lassen. Anders verhält es sich mit der Invaliditätsschätzung. Das kantonale Gesetz über die Verwaltungsrechtspflege verbietet in seinem § 155 dem Verwaltungsgericht, über die Anträge der Parteien hinauszugehen. Das Bundesrecht sieht zwar für die meisten Gebiete des Sozialversicherungsrechts vor, dass der kantonale Richter nicht an die Begehren der Parteien gebunden ist (vgl. Art. 30bis Abs. 3 lit. d KUVG , Art. 85 Abs. 2 lit. d AHVG , Art. 69 IVG , Art. 7 Abs. 2 ELG und Art. 24 EOG ). Art. 121 KUVG enthält aber keine derartige Regel für das kantonale Verfahren in SUVA-Streitsachen, weshalb eine kantonalrechtliche Bestimmung, wonach der Richter nicht über die Parteibegehren hinausgehen darf, zulässig ist. Es scheint deshalb, dass das Verwaltungsgericht des Kantons Luzern sich nicht mit dem generellen Begehren um höhere Bewertung des Invaliditätsgrades als 15% begnügen konnte, wenn es sich an die kantonalrechtlich vorgeschriebene Bindung an die Parteianträge halten wollte. Es war deshalb befugt und verpflichtet, vom Beschwerdeführer zu verlangen, dass er - wenn auch nicht den frankenmässigen Betrag der verlangten Leistung, so doch - mindestens den Invaliditätsgrad angebe, der seines Erachtens für die Rentenbemessung den Ausschlag hätte geben sollen.</w:t>
      </w:r>
    </w:p>
    <w:p>
      <w:r>
        <w:rPr>
          <w:b/>
        </w:rPr>
        <w:t>E. 4</w:t>
      </w:r>
    </w:p>
    <w:p>
      <w:r>
        <w:t>Wenn nun die Vorinstanz den Versicherten am 26. Juni 1973 unter Androhung des Nichteintretens aufgefordert hätte, sein Rentenbegehren genau zu beziffern, so müsste der angefochtene Entscheid jedenfalls in diesem Punkt geschützt werden, nachdem der Beschwerdeführer die Aufforderung missachtet hat. Aber der kantonale Richter beschränkte sich darauf, vom Beschwerdeführer einfach die Einreichung der Rechtsbegehren ("Ihre Rechtsbegehren") zu verlangen, ohne die Art der verlangten Ergänzung zu präzisieren. Um den Sinn dieser richterlichen Anordnung zu verstehen, hätte der Versicherte notwendigerweise die kantonalen Verfahrensvorschriften kennen, ja sogar ihre rechtliche Tragweite erkennen müssen. Indessen geht es nicht an, einen in prozessualen Fragen unerfahrenen und zudem der Gerichtssprache nicht mächtigen Versicherten die Folgen tragen zu lassen, die sich daraus ergeben, dass er die Bedeutung der Verfahrensvorschriften eines Kantons nicht kennt, zu dem er überdies nie je die geringste Beziehung gehabt hat. Obschon niemand aus der BGE 99 V 183 S. 187 eigenen Unkenntnis des Gesetzes Rechte abzuleiten vermag, käme eine solche Lösung doch einem Formalismus gleich, welcher mit dem Rechtsschutzgedanken des Art. 4 BV und insbesondere auch mit der in Art. 121 Abs. 1 KUVG enthaltenen Forderung nach Einfachheit und Raschheit des Verfahrens unvereinbar wäre. Der Beschwerdeführer hätte freilich auf das Schreiben vom 26. Juni 1973 antworten oder sich mindestens erkundigen müssen. Aber nachdem er fristgemäss den verlangten Kostenvorschuss geleistet hatte, konnte er annehmen, die andere vorinstanzliche Anordnung, welche auf die Angabe der Rechtsbegehren gerichtet und der nach dem gewöhnlichen Sprachgebrauch schon in der Beschwerdeschrift Genüge getan war, sei hinfällig. Die Missachtung der richterlichen Aufforderung, deren Sinn der Versicherte nicht verstehen konnte, ermächtigte somit die Vorinstanz nicht, die Beschwerde von der Hand zu weisen. Demzufolge ist die Sache in Aufhebung des angefochtenen Entscheides an das kantonale Verwaltungsgericht zurückzuweisen. Dieses wird sich materiell mit der Beschwerde zu befassen haben, allenfalls unter der Bedingung, dass der Versicherte einer neuen, genaueren richterlichen Aufforderung, sein Rechtsbegehren betreffend Invaliditätsgrad zu ergänzen, ordnungsgemäss nachkommt. Dispositiv Demnach erkennt das Eidg. Versicherungsgericht: Die Verwaltungsgerichtsbeschwerde wird gutgeheissen, der Entscheid des Verwaltungsgerichts des Kantons Luzern vom 7. August 1973 aufgehoben und die Sache an die Vorinstanz zurückgewiesen, damit diese im Sinn der Erwägungen das kantonale Verfahren fortsetze.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